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A15B26">
        <w:rPr>
          <w:rFonts w:asciiTheme="minorHAnsi" w:hAnsiTheme="minorHAnsi"/>
          <w:b/>
          <w:color w:val="000000" w:themeColor="text1"/>
          <w:sz w:val="24"/>
          <w:szCs w:val="24"/>
        </w:rPr>
        <w:t xml:space="preserve">INTEREST RATES MARKET NOTICE </w:t>
      </w:r>
    </w:p>
    <w:p w:rsidR="00F046F5" w:rsidRPr="00A15B26" w:rsidRDefault="00F046F5" w:rsidP="00F64748">
      <w:pPr>
        <w:rPr>
          <w:rFonts w:asciiTheme="minorHAnsi" w:hAnsiTheme="minorHAnsi" w:cs="Arial"/>
          <w:b/>
          <w:color w:val="000000" w:themeColor="text1"/>
          <w:sz w:val="24"/>
          <w:szCs w:val="24"/>
          <w:lang w:val="en-ZA"/>
        </w:rPr>
      </w:pPr>
    </w:p>
    <w:p w:rsidR="00D07D16" w:rsidRPr="005A083D" w:rsidRDefault="00372900" w:rsidP="00D07D16">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005A4637" w:rsidRPr="005A083D">
        <w:rPr>
          <w:b/>
          <w:color w:val="FF0000"/>
        </w:rPr>
        <w:t xml:space="preserve">Amendment </w:t>
      </w:r>
      <w:r w:rsidR="005C0722" w:rsidRPr="005A083D">
        <w:rPr>
          <w:b/>
          <w:color w:val="FF0000"/>
        </w:rPr>
        <w:t xml:space="preserve">of Nominal Amount </w:t>
      </w:r>
      <w:r w:rsidR="005A4637" w:rsidRPr="005A083D">
        <w:rPr>
          <w:b/>
          <w:color w:val="FF0000"/>
        </w:rPr>
        <w:t xml:space="preserve">and Margin </w:t>
      </w:r>
      <w:r w:rsidR="005C0722" w:rsidRPr="005A083D">
        <w:rPr>
          <w:b/>
          <w:color w:val="FF0000"/>
        </w:rPr>
        <w:t>in accordance with the terms and conditions of the instrument</w:t>
      </w:r>
    </w:p>
    <w:p w:rsidR="007F4679" w:rsidRPr="005A083D" w:rsidRDefault="007F4679" w:rsidP="007F4679">
      <w:pPr>
        <w:rPr>
          <w:rFonts w:asciiTheme="minorHAnsi" w:hAnsiTheme="minorHAnsi" w:cs="Arial"/>
          <w:b/>
          <w:color w:val="FF0000"/>
          <w:lang w:val="en-ZA"/>
        </w:rPr>
      </w:pPr>
    </w:p>
    <w:p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4A05A7">
        <w:rPr>
          <w:rFonts w:asciiTheme="minorHAnsi" w:hAnsiTheme="minorHAnsi" w:cs="Arial"/>
          <w:b/>
          <w:lang w:val="en-ZA"/>
        </w:rPr>
        <w:t>9 September 2016</w:t>
      </w:r>
    </w:p>
    <w:p w:rsidR="004D5A76" w:rsidRPr="00A15B26" w:rsidRDefault="004D5A76" w:rsidP="007F4679">
      <w:pPr>
        <w:spacing w:line="312" w:lineRule="auto"/>
        <w:jc w:val="both"/>
        <w:rPr>
          <w:rFonts w:asciiTheme="minorHAnsi" w:hAnsiTheme="minorHAnsi" w:cs="Arial"/>
          <w:b/>
          <w:lang w:val="en-ZA"/>
        </w:rPr>
      </w:pPr>
    </w:p>
    <w:p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rsidR="007F4679" w:rsidRPr="00A15B26" w:rsidRDefault="007F4679" w:rsidP="007F4679">
      <w:pPr>
        <w:suppressAutoHyphens/>
        <w:spacing w:line="312" w:lineRule="auto"/>
        <w:ind w:right="-425"/>
        <w:jc w:val="both"/>
        <w:rPr>
          <w:rFonts w:asciiTheme="minorHAnsi" w:hAnsiTheme="minorHAnsi" w:cs="Arial"/>
          <w:b/>
          <w:i/>
          <w:lang w:val="en-ZA"/>
        </w:rPr>
      </w:pPr>
    </w:p>
    <w:p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rsidR="007F4679" w:rsidRPr="00A15B26" w:rsidRDefault="007F4679" w:rsidP="007F4679">
      <w:pPr>
        <w:suppressAutoHyphens/>
        <w:spacing w:line="312" w:lineRule="auto"/>
        <w:jc w:val="both"/>
        <w:rPr>
          <w:rFonts w:asciiTheme="minorHAnsi" w:hAnsiTheme="minorHAnsi" w:cs="Arial"/>
          <w:lang w:val="en-ZA"/>
        </w:rPr>
      </w:pPr>
    </w:p>
    <w:p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Pr="00A15B26">
        <w:rPr>
          <w:rFonts w:asciiTheme="minorHAnsi" w:hAnsiTheme="minorHAnsi" w:cs="Arial"/>
          <w:b/>
          <w:lang w:val="en-ZA"/>
        </w:rPr>
        <w:t>CREDIT-LINKED FLOATING RATE NOTE</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rsidR="007F4679" w:rsidRPr="00634C48"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Pr="00634C48">
        <w:rPr>
          <w:rFonts w:asciiTheme="minorHAnsi" w:hAnsiTheme="minorHAnsi" w:cs="Arial"/>
          <w:highlight w:val="green"/>
          <w:lang w:val="en-ZA"/>
        </w:rPr>
        <w:t>R</w:t>
      </w:r>
      <w:r w:rsidR="00346F98" w:rsidRPr="00634C48">
        <w:rPr>
          <w:rFonts w:asciiTheme="minorHAnsi" w:hAnsiTheme="minorHAnsi" w:cs="Arial"/>
          <w:highlight w:val="green"/>
          <w:lang w:val="en-ZA"/>
        </w:rPr>
        <w:t xml:space="preserve"> </w:t>
      </w:r>
      <w:r w:rsidR="004A05A7" w:rsidRPr="004A05A7">
        <w:rPr>
          <w:rFonts w:asciiTheme="minorHAnsi" w:hAnsiTheme="minorHAnsi" w:cs="Arial"/>
          <w:highlight w:val="green"/>
          <w:lang w:val="en-ZA"/>
        </w:rPr>
        <w:t>24,556,103.62</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t>R</w:t>
      </w:r>
      <w:r w:rsidR="00346F98" w:rsidRPr="00A15B26">
        <w:rPr>
          <w:rFonts w:asciiTheme="minorHAnsi" w:hAnsiTheme="minorHAnsi" w:cs="Arial"/>
          <w:lang w:val="en-ZA"/>
        </w:rPr>
        <w:t xml:space="preserve"> </w:t>
      </w:r>
      <w:r w:rsidRPr="00A15B26">
        <w:rPr>
          <w:rFonts w:asciiTheme="minorHAnsi" w:hAnsiTheme="minorHAnsi" w:cs="Arial"/>
          <w:lang w:val="en-ZA"/>
        </w:rPr>
        <w:t>25,652,496.</w:t>
      </w:r>
      <w:r w:rsidR="00B636FE" w:rsidRPr="00A15B26">
        <w:rPr>
          <w:rFonts w:asciiTheme="minorHAnsi" w:hAnsiTheme="minorHAnsi" w:cs="Arial"/>
          <w:lang w:val="en-ZA"/>
        </w:rPr>
        <w:t>36</w:t>
      </w:r>
    </w:p>
    <w:p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proofErr w:type="gramStart"/>
      <w:r w:rsidR="005A4637">
        <w:rPr>
          <w:rFonts w:asciiTheme="minorHAnsi" w:hAnsiTheme="minorHAnsi" w:cs="Arial"/>
          <w:lang w:val="en-ZA"/>
        </w:rPr>
        <w:t>As</w:t>
      </w:r>
      <w:proofErr w:type="gramEnd"/>
      <w:r w:rsidR="005A4637">
        <w:rPr>
          <w:rFonts w:asciiTheme="minorHAnsi" w:hAnsiTheme="minorHAnsi" w:cs="Arial"/>
          <w:lang w:val="en-ZA"/>
        </w:rPr>
        <w:t xml:space="preserve"> per</w:t>
      </w:r>
      <w:r w:rsidR="00346F98" w:rsidRPr="00AC0A6E">
        <w:rPr>
          <w:rFonts w:asciiTheme="minorHAnsi" w:hAnsiTheme="minorHAnsi" w:cs="Arial"/>
          <w:lang w:val="en-ZA"/>
        </w:rPr>
        <w:t xml:space="preserve"> the Pricing Supplement</w:t>
      </w:r>
    </w:p>
    <w:p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10 September, </w:t>
      </w:r>
      <w:proofErr w:type="gramStart"/>
      <w:r w:rsidR="003743F0" w:rsidRPr="00A15B26">
        <w:rPr>
          <w:rFonts w:asciiTheme="minorHAnsi" w:hAnsiTheme="minorHAnsi" w:cs="Arial"/>
          <w:lang w:val="en-ZA"/>
        </w:rPr>
        <w:t>10</w:t>
      </w:r>
      <w:proofErr w:type="gramEnd"/>
      <w:r w:rsidR="003743F0" w:rsidRPr="00A15B26">
        <w:rPr>
          <w:rFonts w:asciiTheme="minorHAnsi" w:hAnsiTheme="minorHAnsi" w:cs="Arial"/>
          <w:lang w:val="en-ZA"/>
        </w:rPr>
        <w:t xml:space="preserve"> December</w:t>
      </w:r>
    </w:p>
    <w:p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20 September, </w:t>
      </w:r>
      <w:proofErr w:type="gramStart"/>
      <w:r w:rsidR="003743F0" w:rsidRPr="00A15B26">
        <w:rPr>
          <w:rFonts w:asciiTheme="minorHAnsi" w:hAnsiTheme="minorHAnsi" w:cs="Arial"/>
          <w:lang w:val="en-ZA"/>
        </w:rPr>
        <w:t>20</w:t>
      </w:r>
      <w:proofErr w:type="gramEnd"/>
      <w:r w:rsidR="003743F0" w:rsidRPr="00A15B26">
        <w:rPr>
          <w:rFonts w:asciiTheme="minorHAnsi" w:hAnsiTheme="minorHAnsi" w:cs="Arial"/>
          <w:lang w:val="en-ZA"/>
        </w:rPr>
        <w:t xml:space="preserve">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rsidR="007F4679" w:rsidRPr="00A15B26" w:rsidRDefault="007F4679" w:rsidP="007F4679">
      <w:pPr>
        <w:spacing w:line="288" w:lineRule="auto"/>
        <w:ind w:left="3544" w:right="29" w:hanging="3544"/>
        <w:jc w:val="both"/>
        <w:rPr>
          <w:rFonts w:asciiTheme="minorHAnsi" w:hAnsiTheme="minorHAnsi"/>
          <w:lang w:val="en-ZA"/>
        </w:rPr>
      </w:pPr>
      <w:proofErr w:type="gramStart"/>
      <w:r w:rsidRPr="00A15B26">
        <w:rPr>
          <w:rFonts w:asciiTheme="minorHAnsi" w:hAnsiTheme="minorHAnsi" w:cs="Arial"/>
          <w:b/>
          <w:lang w:val="en-ZA"/>
        </w:rPr>
        <w:t>ISIN No.</w:t>
      </w:r>
      <w:proofErr w:type="gramEnd"/>
      <w:r w:rsidRPr="00A15B26">
        <w:rPr>
          <w:rFonts w:asciiTheme="minorHAnsi" w:hAnsiTheme="minorHAnsi" w:cs="Arial"/>
          <w:b/>
          <w:lang w:val="en-ZA"/>
        </w:rPr>
        <w:tab/>
      </w:r>
      <w:r w:rsidRPr="00A15B26">
        <w:rPr>
          <w:rFonts w:asciiTheme="minorHAnsi" w:hAnsiTheme="minorHAnsi"/>
          <w:lang w:val="en-ZA"/>
        </w:rPr>
        <w:t>ZAG000127135</w:t>
      </w:r>
    </w:p>
    <w:p w:rsidR="004D5A7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p>
    <w:p w:rsidR="00F046F5" w:rsidRPr="00A15B26" w:rsidRDefault="00F046F5" w:rsidP="007F4679">
      <w:pPr>
        <w:spacing w:line="288" w:lineRule="auto"/>
        <w:ind w:left="3544" w:right="29" w:hanging="3544"/>
        <w:jc w:val="both"/>
        <w:rPr>
          <w:rFonts w:asciiTheme="minorHAnsi" w:hAnsiTheme="minorHAnsi"/>
          <w:lang w:val="en-ZA"/>
        </w:rPr>
      </w:pPr>
    </w:p>
    <w:p w:rsidR="00F046F5" w:rsidRDefault="00386EFA" w:rsidP="007F4679">
      <w:pPr>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Applicable Pricing Supplement</w:t>
      </w:r>
    </w:p>
    <w:p w:rsidR="00386EFA" w:rsidRPr="00A15B26" w:rsidRDefault="00386EFA"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b/>
      </w:r>
    </w:p>
    <w:p w:rsidR="004A05A7" w:rsidRDefault="004A05A7" w:rsidP="00346F98">
      <w:pPr>
        <w:suppressAutoHyphens/>
        <w:spacing w:line="312" w:lineRule="auto"/>
        <w:jc w:val="both"/>
      </w:pPr>
      <w:hyperlink r:id="rId9" w:history="1">
        <w:r w:rsidRPr="00803DE7">
          <w:rPr>
            <w:rStyle w:val="Hyperlink"/>
          </w:rPr>
          <w:t>https://www.jse.co.za/content/JSEPricingSupplementsItems/2014/BondDocuments/CLN406%20Pricing%20Supplement%2009092016.pdf</w:t>
        </w:r>
      </w:hyperlink>
    </w:p>
    <w:p w:rsidR="00F046F5" w:rsidRDefault="00F046F5" w:rsidP="00346F98">
      <w:pPr>
        <w:suppressAutoHyphens/>
        <w:spacing w:line="312" w:lineRule="auto"/>
        <w:jc w:val="both"/>
        <w:rPr>
          <w:rFonts w:asciiTheme="minorHAnsi" w:hAnsiTheme="minorHAnsi" w:cs="Arial"/>
          <w:i/>
          <w:lang w:val="en-ZA"/>
        </w:rPr>
      </w:pPr>
      <w:bookmarkStart w:id="0" w:name="_GoBack"/>
      <w:bookmarkEnd w:id="0"/>
    </w:p>
    <w:p w:rsidR="00F046F5" w:rsidRPr="00A15B26" w:rsidRDefault="00F046F5" w:rsidP="00346F98">
      <w:pPr>
        <w:suppressAutoHyphens/>
        <w:spacing w:line="312" w:lineRule="auto"/>
        <w:jc w:val="both"/>
        <w:rPr>
          <w:rFonts w:asciiTheme="minorHAnsi" w:hAnsiTheme="minorHAnsi" w:cs="Arial"/>
          <w:i/>
          <w:lang w:val="en-ZA"/>
        </w:rPr>
      </w:pPr>
    </w:p>
    <w:p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rsidR="00346F98" w:rsidRPr="00A15B26" w:rsidRDefault="00346F98" w:rsidP="00346F98">
      <w:pPr>
        <w:spacing w:line="312" w:lineRule="auto"/>
        <w:ind w:right="720"/>
        <w:jc w:val="both"/>
        <w:rPr>
          <w:rFonts w:asciiTheme="minorHAnsi" w:hAnsiTheme="minorHAnsi" w:cs="Arial"/>
        </w:rPr>
      </w:pPr>
    </w:p>
    <w:p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rsidR="00346F98" w:rsidRDefault="00346F98" w:rsidP="00346F98">
      <w:pPr>
        <w:spacing w:line="312" w:lineRule="auto"/>
        <w:ind w:right="720"/>
        <w:jc w:val="both"/>
        <w:rPr>
          <w:rFonts w:asciiTheme="minorHAnsi" w:hAnsiTheme="minorHAnsi" w:cs="Arial"/>
        </w:rPr>
      </w:pPr>
    </w:p>
    <w:p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346F98" w:rsidRDefault="00346F98" w:rsidP="00346F98">
      <w:pPr>
        <w:tabs>
          <w:tab w:val="left" w:pos="3780"/>
        </w:tabs>
        <w:suppressAutoHyphens/>
        <w:spacing w:line="312" w:lineRule="auto"/>
        <w:ind w:right="-516"/>
        <w:jc w:val="both"/>
        <w:rPr>
          <w:rFonts w:asciiTheme="minorHAnsi" w:hAnsiTheme="minorHAnsi" w:cs="Arial"/>
          <w:color w:val="0000FF"/>
        </w:rPr>
      </w:pPr>
    </w:p>
    <w:p w:rsidR="007F4679" w:rsidRPr="00F64748" w:rsidRDefault="007F4679"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B3CBF" w:rsidRPr="00F64748" w:rsidRDefault="00FB3CBF" w:rsidP="007F4679">
      <w:pPr>
        <w:pStyle w:val="BodyText"/>
        <w:spacing w:before="20" w:after="20" w:line="312" w:lineRule="auto"/>
        <w:rPr>
          <w:rFonts w:asciiTheme="minorHAnsi" w:hAnsiTheme="minorHAnsi" w:cs="Arial"/>
          <w:lang w:val="en-ZA"/>
        </w:rPr>
      </w:pPr>
    </w:p>
    <w:p w:rsidR="003743F0" w:rsidRPr="00E24BC3" w:rsidRDefault="00A15B26"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Pr>
          <w:rFonts w:asciiTheme="minorHAnsi" w:hAnsiTheme="minorHAnsi" w:cs="Arial"/>
          <w:lang w:val="en-ZA"/>
        </w:rPr>
        <w:t>4154159</w:t>
      </w:r>
    </w:p>
    <w:p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8" w:rsidRDefault="001E4138">
      <w:r>
        <w:separator/>
      </w:r>
    </w:p>
  </w:endnote>
  <w:endnote w:type="continuationSeparator" w:id="0">
    <w:p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4A05A7">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4A05A7">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8" w:rsidRDefault="001E4138">
      <w:r>
        <w:separator/>
      </w:r>
    </w:p>
  </w:footnote>
  <w:footnote w:type="continuationSeparator" w:id="0">
    <w:p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5A7"/>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83D"/>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34C48"/>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2479"/>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803"/>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46F5"/>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406%20Pricing%20Supplement%2009092016.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2016-09-09T14:00:00+00:00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939B5-56A8-4E15-B963-B85F33670E6E}"/>
</file>

<file path=customXml/itemProps2.xml><?xml version="1.0" encoding="utf-8"?>
<ds:datastoreItem xmlns:ds="http://schemas.openxmlformats.org/officeDocument/2006/customXml" ds:itemID="{A5CD0165-D7EE-40FE-91CE-3C922FDFF8ED}"/>
</file>

<file path=customXml/itemProps3.xml><?xml version="1.0" encoding="utf-8"?>
<ds:datastoreItem xmlns:ds="http://schemas.openxmlformats.org/officeDocument/2006/customXml" ds:itemID="{58312E2A-1453-447D-83D1-9C450E414342}"/>
</file>

<file path=customXml/itemProps4.xml><?xml version="1.0" encoding="utf-8"?>
<ds:datastoreItem xmlns:ds="http://schemas.openxmlformats.org/officeDocument/2006/customXml" ds:itemID="{6A2CE835-900D-46F8-8380-C6A27EA06471}"/>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7</cp:revision>
  <cp:lastPrinted>2012-01-03T09:35:00Z</cp:lastPrinted>
  <dcterms:created xsi:type="dcterms:W3CDTF">2016-02-10T12:32:00Z</dcterms:created>
  <dcterms:modified xsi:type="dcterms:W3CDTF">2016-09-09T06:48:00Z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163200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